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38" w:rsidRPr="00962EA4" w:rsidRDefault="00A95938" w:rsidP="00962EA4">
      <w:pPr>
        <w:spacing w:after="0" w:line="240" w:lineRule="auto"/>
        <w:jc w:val="center"/>
        <w:outlineLvl w:val="0"/>
        <w:rPr>
          <w:rFonts w:eastAsia="Times New Roman" w:cstheme="minorHAnsi"/>
          <w:b/>
          <w:bCs/>
          <w:color w:val="1F2048"/>
          <w:kern w:val="36"/>
          <w:sz w:val="36"/>
          <w:szCs w:val="36"/>
          <w:lang w:eastAsia="fr-FR"/>
        </w:rPr>
      </w:pPr>
      <w:r w:rsidRPr="00962EA4">
        <w:rPr>
          <w:rFonts w:eastAsia="Times New Roman" w:cstheme="minorHAnsi"/>
          <w:b/>
          <w:bCs/>
          <w:color w:val="1F2048"/>
          <w:kern w:val="36"/>
          <w:sz w:val="36"/>
          <w:szCs w:val="36"/>
          <w:lang w:eastAsia="fr-FR"/>
        </w:rPr>
        <w:t>Annulations liées au Covid-19</w:t>
      </w:r>
    </w:p>
    <w:p w:rsidR="00A95938" w:rsidRPr="00962EA4" w:rsidRDefault="00A95938" w:rsidP="00962EA4">
      <w:pPr>
        <w:spacing w:after="0" w:line="240" w:lineRule="auto"/>
        <w:jc w:val="center"/>
        <w:outlineLvl w:val="1"/>
        <w:rPr>
          <w:rFonts w:eastAsia="Times New Roman" w:cstheme="minorHAnsi"/>
          <w:b/>
          <w:bCs/>
          <w:color w:val="1F2048"/>
          <w:sz w:val="36"/>
          <w:szCs w:val="36"/>
          <w:lang w:eastAsia="fr-FR"/>
        </w:rPr>
      </w:pPr>
      <w:r w:rsidRPr="00962EA4">
        <w:rPr>
          <w:rFonts w:eastAsia="Times New Roman" w:cstheme="minorHAnsi"/>
          <w:color w:val="3399CC"/>
          <w:sz w:val="36"/>
          <w:szCs w:val="36"/>
          <w:lang w:eastAsia="fr-FR"/>
        </w:rPr>
        <w:t>L’UFC-Que Choisir accompagne les consommateurs</w:t>
      </w:r>
    </w:p>
    <w:p w:rsidR="00962EA4" w:rsidRDefault="008C3BCC" w:rsidP="00962EA4">
      <w:pPr>
        <w:spacing w:after="0" w:line="240" w:lineRule="auto"/>
        <w:jc w:val="both"/>
        <w:rPr>
          <w:rFonts w:eastAsia="Times New Roman" w:cstheme="minorHAnsi"/>
          <w:b/>
          <w:bCs/>
          <w:color w:val="2D2D2D"/>
          <w:sz w:val="24"/>
          <w:szCs w:val="24"/>
          <w:lang w:eastAsia="fr-FR"/>
        </w:rPr>
      </w:pPr>
      <w:r>
        <w:rPr>
          <w:rFonts w:eastAsia="Times New Roman" w:cstheme="minorHAnsi"/>
          <w:b/>
          <w:bCs/>
          <w:color w:val="2D2D2D"/>
          <w:sz w:val="24"/>
          <w:szCs w:val="24"/>
          <w:lang w:eastAsia="fr-FR"/>
        </w:rPr>
        <w:br/>
      </w:r>
      <w:r w:rsidR="00A95938" w:rsidRPr="00962EA4">
        <w:rPr>
          <w:rFonts w:eastAsia="Times New Roman" w:cstheme="minorHAnsi"/>
          <w:b/>
          <w:bCs/>
          <w:color w:val="2D2D2D"/>
          <w:sz w:val="24"/>
          <w:szCs w:val="24"/>
          <w:lang w:eastAsia="fr-FR"/>
        </w:rPr>
        <w:t xml:space="preserve">Après avoir œuvré pour préserver le droit au remboursement des consommateurs face aux annulations massives liées à la crise du </w:t>
      </w:r>
      <w:proofErr w:type="spellStart"/>
      <w:r w:rsidR="00A95938" w:rsidRPr="00962EA4">
        <w:rPr>
          <w:rFonts w:eastAsia="Times New Roman" w:cstheme="minorHAnsi"/>
          <w:b/>
          <w:bCs/>
          <w:color w:val="2D2D2D"/>
          <w:sz w:val="24"/>
          <w:szCs w:val="24"/>
          <w:lang w:eastAsia="fr-FR"/>
        </w:rPr>
        <w:t>Cov</w:t>
      </w:r>
      <w:proofErr w:type="spellEnd"/>
      <w:r w:rsidR="00A95938" w:rsidRPr="00962EA4">
        <w:rPr>
          <w:rFonts w:eastAsia="Times New Roman" w:cstheme="minorHAnsi"/>
          <w:b/>
          <w:bCs/>
          <w:color w:val="2D2D2D"/>
          <w:sz w:val="24"/>
          <w:szCs w:val="24"/>
          <w:lang w:eastAsia="fr-FR"/>
        </w:rPr>
        <w:t xml:space="preserve"> 19, tout en proposant des alternatives crédibles pour minorer l’impact </w:t>
      </w:r>
      <w:bookmarkStart w:id="0" w:name="_GoBack"/>
      <w:bookmarkEnd w:id="0"/>
      <w:r w:rsidR="00A95938" w:rsidRPr="00962EA4">
        <w:rPr>
          <w:rFonts w:eastAsia="Times New Roman" w:cstheme="minorHAnsi"/>
          <w:b/>
          <w:bCs/>
          <w:color w:val="2D2D2D"/>
          <w:sz w:val="24"/>
          <w:szCs w:val="24"/>
          <w:lang w:eastAsia="fr-FR"/>
        </w:rPr>
        <w:t xml:space="preserve">économique sur les secteurs concernés, l’UFC-Que Choisir se félicite de l'adoption d'une ordonnance équilibrée s’agissant des droits des consommateurs relatifs aux locations de voiture, hôtels, événements, et voyages annulés. </w:t>
      </w:r>
    </w:p>
    <w:p w:rsidR="00A95938" w:rsidRPr="00962EA4" w:rsidRDefault="00A95938" w:rsidP="00962EA4">
      <w:pPr>
        <w:spacing w:after="0" w:line="240" w:lineRule="auto"/>
        <w:jc w:val="both"/>
        <w:rPr>
          <w:rFonts w:eastAsia="Times New Roman" w:cstheme="minorHAnsi"/>
          <w:b/>
          <w:bCs/>
          <w:color w:val="2D2D2D"/>
          <w:sz w:val="24"/>
          <w:szCs w:val="24"/>
          <w:lang w:eastAsia="fr-FR"/>
        </w:rPr>
      </w:pPr>
      <w:r w:rsidRPr="00962EA4">
        <w:rPr>
          <w:rFonts w:eastAsia="Times New Roman" w:cstheme="minorHAnsi"/>
          <w:b/>
          <w:bCs/>
          <w:color w:val="2D2D2D"/>
          <w:sz w:val="24"/>
          <w:szCs w:val="24"/>
          <w:lang w:eastAsia="fr-FR"/>
        </w:rPr>
        <w:t xml:space="preserve">Face aux assertions fallacieuses de certains professionnels sur les droits de leurs clients, l’association publie une </w:t>
      </w:r>
      <w:hyperlink r:id="rId7" w:history="1">
        <w:r w:rsidRPr="00962EA4">
          <w:rPr>
            <w:rFonts w:eastAsia="Times New Roman" w:cstheme="minorHAnsi"/>
            <w:b/>
            <w:bCs/>
            <w:color w:val="458AD0"/>
            <w:sz w:val="24"/>
            <w:szCs w:val="24"/>
            <w:u w:val="single"/>
            <w:lang w:eastAsia="fr-FR"/>
          </w:rPr>
          <w:t>foire aux questions</w:t>
        </w:r>
      </w:hyperlink>
      <w:r w:rsidRPr="00962EA4">
        <w:rPr>
          <w:rFonts w:eastAsia="Times New Roman" w:cstheme="minorHAnsi"/>
          <w:b/>
          <w:bCs/>
          <w:color w:val="2D2D2D"/>
          <w:sz w:val="24"/>
          <w:szCs w:val="24"/>
          <w:lang w:eastAsia="fr-FR"/>
        </w:rPr>
        <w:t xml:space="preserve"> et un </w:t>
      </w:r>
      <w:hyperlink r:id="rId8" w:history="1">
        <w:r w:rsidRPr="00962EA4">
          <w:rPr>
            <w:rFonts w:eastAsia="Times New Roman" w:cstheme="minorHAnsi"/>
            <w:b/>
            <w:bCs/>
            <w:color w:val="458AD0"/>
            <w:sz w:val="24"/>
            <w:szCs w:val="24"/>
            <w:u w:val="single"/>
            <w:lang w:eastAsia="fr-FR"/>
          </w:rPr>
          <w:t>outil gratuit</w:t>
        </w:r>
      </w:hyperlink>
      <w:r w:rsidRPr="00962EA4">
        <w:rPr>
          <w:rFonts w:eastAsia="Times New Roman" w:cstheme="minorHAnsi"/>
          <w:b/>
          <w:bCs/>
          <w:color w:val="2D2D2D"/>
          <w:sz w:val="24"/>
          <w:szCs w:val="24"/>
          <w:lang w:eastAsia="fr-FR"/>
        </w:rPr>
        <w:t xml:space="preserve"> permettant à chacun de connaître pleinement ses droits avec le nouveau régime dérogatoire et de les faire valoir.</w:t>
      </w:r>
    </w:p>
    <w:p w:rsidR="00A95938" w:rsidRPr="00962EA4" w:rsidRDefault="00A95938" w:rsidP="008C3BCC">
      <w:pPr>
        <w:spacing w:after="0"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shd w:val="clear" w:color="auto" w:fill="FFFFFF"/>
          <w:lang w:eastAsia="fr-FR"/>
        </w:rPr>
        <w:t xml:space="preserve">  </w:t>
      </w:r>
      <w:r w:rsidR="008C3BCC">
        <w:rPr>
          <w:rFonts w:eastAsia="Times New Roman" w:cstheme="minorHAnsi"/>
          <w:color w:val="2D2D2D"/>
          <w:sz w:val="24"/>
          <w:szCs w:val="24"/>
          <w:shd w:val="clear" w:color="auto" w:fill="FFFFFF"/>
          <w:lang w:eastAsia="fr-FR"/>
        </w:rPr>
        <w:br/>
      </w:r>
      <w:r w:rsidRPr="00962EA4">
        <w:rPr>
          <w:rFonts w:eastAsia="Times New Roman" w:cstheme="minorHAnsi"/>
          <w:b/>
          <w:bCs/>
          <w:color w:val="2D2D2D"/>
          <w:sz w:val="24"/>
          <w:szCs w:val="24"/>
          <w:lang w:eastAsia="fr-FR"/>
        </w:rPr>
        <w:t>Le droit au remboursement n’est pas supprimé… mais éventuellement différé :</w:t>
      </w:r>
    </w:p>
    <w:p w:rsidR="00A95938" w:rsidRPr="00962EA4" w:rsidRDefault="00A95938" w:rsidP="00962EA4">
      <w:pPr>
        <w:spacing w:before="180" w:after="0"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 xml:space="preserve">Alors que de nombreux témoignages de consommateurs font état de ce que des professionnels après annulation ne proposent qu’un simple report, ou un avoir dans des délais restreints, affirmant que le remboursement n’est plus possible, </w:t>
      </w:r>
      <w:r w:rsidRPr="00962EA4">
        <w:rPr>
          <w:rFonts w:eastAsia="Times New Roman" w:cstheme="minorHAnsi"/>
          <w:color w:val="2D2D2D"/>
          <w:sz w:val="24"/>
          <w:szCs w:val="24"/>
          <w:u w:val="single"/>
          <w:lang w:eastAsia="fr-FR"/>
        </w:rPr>
        <w:t>l’ordonnance vient clairement apporter un démenti à cette dissimulation des droits des consommateurs</w:t>
      </w:r>
      <w:r w:rsidRPr="00962EA4">
        <w:rPr>
          <w:rFonts w:eastAsia="Times New Roman" w:cstheme="minorHAnsi"/>
          <w:color w:val="2D2D2D"/>
          <w:sz w:val="24"/>
          <w:szCs w:val="24"/>
          <w:lang w:eastAsia="fr-FR"/>
        </w:rPr>
        <w:t>.</w:t>
      </w:r>
    </w:p>
    <w:p w:rsidR="00962EA4" w:rsidRDefault="00A95938" w:rsidP="00962EA4">
      <w:pPr>
        <w:spacing w:before="180" w:after="0"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Pour les annulations intervenues entre le 1</w:t>
      </w:r>
      <w:r w:rsidRPr="00962EA4">
        <w:rPr>
          <w:rFonts w:eastAsia="Times New Roman" w:cstheme="minorHAnsi"/>
          <w:color w:val="2D2D2D"/>
          <w:sz w:val="24"/>
          <w:szCs w:val="24"/>
          <w:vertAlign w:val="superscript"/>
          <w:lang w:eastAsia="fr-FR"/>
        </w:rPr>
        <w:t>er</w:t>
      </w:r>
      <w:r w:rsidRPr="00962EA4">
        <w:rPr>
          <w:rFonts w:eastAsia="Times New Roman" w:cstheme="minorHAnsi"/>
          <w:color w:val="2D2D2D"/>
          <w:sz w:val="24"/>
          <w:szCs w:val="24"/>
          <w:lang w:eastAsia="fr-FR"/>
        </w:rPr>
        <w:t xml:space="preserve"> mars et le 15 septembre 2020, les professionnels peuvent, en lieu et place du remboursement, proposer (dans les 3 mois suivant l’annulation)</w:t>
      </w:r>
      <w:r w:rsidR="00962EA4">
        <w:rPr>
          <w:rFonts w:eastAsia="Times New Roman" w:cstheme="minorHAnsi"/>
          <w:color w:val="2D2D2D"/>
          <w:sz w:val="24"/>
          <w:szCs w:val="24"/>
          <w:lang w:eastAsia="fr-FR"/>
        </w:rPr>
        <w:t> :</w:t>
      </w:r>
    </w:p>
    <w:p w:rsidR="00962EA4" w:rsidRDefault="00962EA4" w:rsidP="00962EA4">
      <w:pPr>
        <w:spacing w:before="180" w:after="0" w:line="240" w:lineRule="auto"/>
        <w:jc w:val="both"/>
        <w:rPr>
          <w:rFonts w:eastAsia="Times New Roman" w:cstheme="minorHAnsi"/>
          <w:color w:val="2D2D2D"/>
          <w:sz w:val="24"/>
          <w:szCs w:val="24"/>
          <w:lang w:eastAsia="fr-FR"/>
        </w:rPr>
      </w:pPr>
      <w:r>
        <w:rPr>
          <w:rFonts w:eastAsia="Times New Roman" w:cstheme="minorHAnsi"/>
          <w:color w:val="2D2D2D"/>
          <w:sz w:val="24"/>
          <w:szCs w:val="24"/>
          <w:lang w:eastAsia="fr-FR"/>
        </w:rPr>
        <w:t>- U</w:t>
      </w:r>
      <w:r w:rsidR="00A95938" w:rsidRPr="00962EA4">
        <w:rPr>
          <w:rFonts w:eastAsia="Times New Roman" w:cstheme="minorHAnsi"/>
          <w:color w:val="2D2D2D"/>
          <w:sz w:val="24"/>
          <w:szCs w:val="24"/>
          <w:lang w:eastAsia="fr-FR"/>
        </w:rPr>
        <w:t xml:space="preserve">n report pour une prestation identique ou équivalente, et en cas de refus du consommateur, celui-ci bénéficie alors d’un avoir, fractionnable pour une plusieurs prestations chez le même professionnel, valable 18 mois… </w:t>
      </w:r>
    </w:p>
    <w:p w:rsidR="00A95938" w:rsidRPr="00962EA4" w:rsidRDefault="00962EA4" w:rsidP="00962EA4">
      <w:pPr>
        <w:spacing w:before="180" w:after="0" w:line="240" w:lineRule="auto"/>
        <w:jc w:val="both"/>
        <w:rPr>
          <w:rFonts w:eastAsia="Times New Roman" w:cstheme="minorHAnsi"/>
          <w:color w:val="2D2D2D"/>
          <w:sz w:val="24"/>
          <w:szCs w:val="24"/>
          <w:lang w:eastAsia="fr-FR"/>
        </w:rPr>
      </w:pPr>
      <w:r>
        <w:rPr>
          <w:rFonts w:eastAsia="Times New Roman" w:cstheme="minorHAnsi"/>
          <w:color w:val="2D2D2D"/>
          <w:sz w:val="24"/>
          <w:szCs w:val="24"/>
          <w:lang w:eastAsia="fr-FR"/>
        </w:rPr>
        <w:t xml:space="preserve">- </w:t>
      </w:r>
      <w:r w:rsidR="00A95938" w:rsidRPr="00962EA4">
        <w:rPr>
          <w:rFonts w:eastAsia="Times New Roman" w:cstheme="minorHAnsi"/>
          <w:color w:val="2D2D2D"/>
          <w:sz w:val="24"/>
          <w:szCs w:val="24"/>
          <w:lang w:eastAsia="fr-FR"/>
        </w:rPr>
        <w:t>A l’issue de cette période, en cas de non utilisation totale ou partielle de l’avoir, le professionnel DOIT rembourser les consommateurs.</w:t>
      </w:r>
    </w:p>
    <w:p w:rsidR="00A95938" w:rsidRPr="00962EA4" w:rsidRDefault="00A95938" w:rsidP="00962EA4">
      <w:pPr>
        <w:spacing w:before="180" w:after="0"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Soucieuse de garantir une information loyale et exhaustive des consommateurs sur leurs droits, l’association met à leur disposition :</w:t>
      </w:r>
    </w:p>
    <w:p w:rsidR="00A95938" w:rsidRPr="00962EA4" w:rsidRDefault="00A95938" w:rsidP="00962EA4">
      <w:pPr>
        <w:numPr>
          <w:ilvl w:val="0"/>
          <w:numId w:val="30"/>
        </w:numPr>
        <w:spacing w:before="100" w:beforeAutospacing="1" w:after="100" w:afterAutospacing="1"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 xml:space="preserve">Une </w:t>
      </w:r>
      <w:hyperlink r:id="rId9" w:history="1">
        <w:r w:rsidRPr="00962EA4">
          <w:rPr>
            <w:rFonts w:eastAsia="Times New Roman" w:cstheme="minorHAnsi"/>
            <w:color w:val="458AD0"/>
            <w:sz w:val="24"/>
            <w:szCs w:val="24"/>
            <w:u w:val="single"/>
            <w:lang w:eastAsia="fr-FR"/>
          </w:rPr>
          <w:t>foire aux questions</w:t>
        </w:r>
      </w:hyperlink>
      <w:r w:rsidRPr="00962EA4">
        <w:rPr>
          <w:rFonts w:eastAsia="Times New Roman" w:cstheme="minorHAnsi"/>
          <w:color w:val="2D2D2D"/>
          <w:sz w:val="24"/>
          <w:szCs w:val="24"/>
          <w:lang w:eastAsia="fr-FR"/>
        </w:rPr>
        <w:t xml:space="preserve"> sur le régime dérogatoire lié à l’ordonnance annoncée ce jour</w:t>
      </w:r>
    </w:p>
    <w:p w:rsidR="00A95938" w:rsidRPr="00962EA4" w:rsidRDefault="00A95938" w:rsidP="00962EA4">
      <w:pPr>
        <w:numPr>
          <w:ilvl w:val="0"/>
          <w:numId w:val="30"/>
        </w:numPr>
        <w:spacing w:before="100" w:beforeAutospacing="1" w:after="100" w:afterAutospacing="1"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 xml:space="preserve">Un </w:t>
      </w:r>
      <w:hyperlink r:id="rId10" w:history="1">
        <w:r w:rsidRPr="00962EA4">
          <w:rPr>
            <w:rFonts w:eastAsia="Times New Roman" w:cstheme="minorHAnsi"/>
            <w:color w:val="458AD0"/>
            <w:sz w:val="24"/>
            <w:szCs w:val="24"/>
            <w:u w:val="single"/>
            <w:lang w:eastAsia="fr-FR"/>
          </w:rPr>
          <w:t>outil gratuit</w:t>
        </w:r>
      </w:hyperlink>
      <w:r w:rsidRPr="00962EA4">
        <w:rPr>
          <w:rFonts w:eastAsia="Times New Roman" w:cstheme="minorHAnsi"/>
          <w:color w:val="2D2D2D"/>
          <w:sz w:val="24"/>
          <w:szCs w:val="24"/>
          <w:lang w:eastAsia="fr-FR"/>
        </w:rPr>
        <w:t xml:space="preserve"> pour connaître les droits au vu de chaque situation</w:t>
      </w:r>
    </w:p>
    <w:p w:rsidR="00A95938" w:rsidRPr="00962EA4" w:rsidRDefault="00A95938" w:rsidP="00962EA4">
      <w:pPr>
        <w:numPr>
          <w:ilvl w:val="0"/>
          <w:numId w:val="30"/>
        </w:numPr>
        <w:spacing w:before="100" w:beforeAutospacing="1" w:after="100" w:afterAutospacing="1"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 xml:space="preserve">Un </w:t>
      </w:r>
      <w:hyperlink r:id="rId11" w:history="1">
        <w:r w:rsidRPr="00962EA4">
          <w:rPr>
            <w:rFonts w:eastAsia="Times New Roman" w:cstheme="minorHAnsi"/>
            <w:color w:val="458AD0"/>
            <w:sz w:val="24"/>
            <w:szCs w:val="24"/>
            <w:u w:val="single"/>
            <w:lang w:eastAsia="fr-FR"/>
          </w:rPr>
          <w:t>formulaire</w:t>
        </w:r>
      </w:hyperlink>
      <w:r w:rsidRPr="00962EA4">
        <w:rPr>
          <w:rFonts w:eastAsia="Times New Roman" w:cstheme="minorHAnsi"/>
          <w:color w:val="2D2D2D"/>
          <w:sz w:val="24"/>
          <w:szCs w:val="24"/>
          <w:lang w:eastAsia="fr-FR"/>
        </w:rPr>
        <w:t xml:space="preserve"> pour être alerté de la fin de validité de l'avoir et s'assurer de son remboursement</w:t>
      </w:r>
    </w:p>
    <w:p w:rsidR="00A95938" w:rsidRPr="00962EA4" w:rsidRDefault="00A95938" w:rsidP="00962EA4">
      <w:pPr>
        <w:numPr>
          <w:ilvl w:val="0"/>
          <w:numId w:val="30"/>
        </w:numPr>
        <w:spacing w:before="100" w:beforeAutospacing="1" w:after="100" w:afterAutospacing="1" w:line="240" w:lineRule="auto"/>
        <w:jc w:val="both"/>
        <w:rPr>
          <w:rFonts w:eastAsia="Times New Roman" w:cstheme="minorHAnsi"/>
          <w:color w:val="2D2D2D"/>
          <w:sz w:val="24"/>
          <w:szCs w:val="24"/>
          <w:lang w:eastAsia="fr-FR"/>
        </w:rPr>
      </w:pPr>
      <w:r w:rsidRPr="00962EA4">
        <w:rPr>
          <w:rFonts w:eastAsia="Times New Roman" w:cstheme="minorHAnsi"/>
          <w:color w:val="2D2D2D"/>
          <w:sz w:val="24"/>
          <w:szCs w:val="24"/>
          <w:lang w:eastAsia="fr-FR"/>
        </w:rPr>
        <w:t xml:space="preserve">Un </w:t>
      </w:r>
      <w:hyperlink r:id="rId12" w:history="1">
        <w:r w:rsidRPr="00962EA4">
          <w:rPr>
            <w:rFonts w:eastAsia="Times New Roman" w:cstheme="minorHAnsi"/>
            <w:color w:val="458AD0"/>
            <w:sz w:val="24"/>
            <w:szCs w:val="24"/>
            <w:u w:val="single"/>
            <w:lang w:eastAsia="fr-FR"/>
          </w:rPr>
          <w:t>forum</w:t>
        </w:r>
      </w:hyperlink>
      <w:r w:rsidRPr="00962EA4">
        <w:rPr>
          <w:rFonts w:eastAsia="Times New Roman" w:cstheme="minorHAnsi"/>
          <w:color w:val="2D2D2D"/>
          <w:sz w:val="24"/>
          <w:szCs w:val="24"/>
          <w:lang w:eastAsia="fr-FR"/>
        </w:rPr>
        <w:t xml:space="preserve"> leur permettant de partager leur expérience et nous faire remonter les difficultés constatées</w:t>
      </w:r>
    </w:p>
    <w:p w:rsidR="008C3BCC" w:rsidRDefault="00A95938" w:rsidP="00962EA4">
      <w:pPr>
        <w:spacing w:before="180" w:after="0" w:line="240" w:lineRule="auto"/>
        <w:jc w:val="both"/>
        <w:rPr>
          <w:rFonts w:eastAsia="Times New Roman" w:cstheme="minorHAnsi"/>
          <w:b/>
          <w:bCs/>
          <w:color w:val="2D2D2D"/>
          <w:sz w:val="24"/>
          <w:szCs w:val="24"/>
          <w:lang w:eastAsia="fr-FR"/>
        </w:rPr>
      </w:pPr>
      <w:r w:rsidRPr="00962EA4">
        <w:rPr>
          <w:rFonts w:eastAsia="Times New Roman" w:cstheme="minorHAnsi"/>
          <w:color w:val="2D2D2D"/>
          <w:sz w:val="24"/>
          <w:szCs w:val="24"/>
          <w:lang w:eastAsia="fr-FR"/>
        </w:rPr>
        <w:t> </w:t>
      </w:r>
      <w:r w:rsidRPr="00962EA4">
        <w:rPr>
          <w:rFonts w:eastAsia="Times New Roman" w:cstheme="minorHAnsi"/>
          <w:b/>
          <w:bCs/>
          <w:color w:val="2D2D2D"/>
          <w:sz w:val="24"/>
          <w:szCs w:val="24"/>
          <w:lang w:eastAsia="fr-FR"/>
        </w:rPr>
        <w:t xml:space="preserve">L’UFC-Que Choisir sera très attentive à la bonne exécution de l’ordonnance par l’ensemble des professionnels concernés. L’association appelle également les pouvoirs publics à communiquer sur l’intégralité du dispositif afin d’assurer aux consommateurs une </w:t>
      </w:r>
      <w:r w:rsidRPr="00962EA4">
        <w:rPr>
          <w:rFonts w:eastAsia="Times New Roman" w:cstheme="minorHAnsi"/>
          <w:b/>
          <w:bCs/>
          <w:color w:val="2D2D2D"/>
          <w:sz w:val="24"/>
          <w:szCs w:val="24"/>
          <w:lang w:eastAsia="fr-FR"/>
        </w:rPr>
        <w:lastRenderedPageBreak/>
        <w:t>information complète et loyale sur leurs droits, et la DGCCRF à diligenter des contrôles pour s’assurer du total respect des droits des consommateurs.</w:t>
      </w:r>
    </w:p>
    <w:p w:rsidR="008C3BCC" w:rsidRDefault="008C3BCC" w:rsidP="00962EA4">
      <w:pPr>
        <w:spacing w:after="0" w:line="298" w:lineRule="atLeast"/>
        <w:jc w:val="both"/>
        <w:rPr>
          <w:rFonts w:cstheme="minorHAnsi"/>
          <w:sz w:val="24"/>
          <w:szCs w:val="24"/>
        </w:rPr>
      </w:pPr>
      <w:r>
        <w:rPr>
          <w:rFonts w:cstheme="minorHAnsi"/>
          <w:sz w:val="24"/>
          <w:szCs w:val="24"/>
        </w:rPr>
        <w:br/>
      </w:r>
      <w:r w:rsidR="00962EA4">
        <w:rPr>
          <w:rFonts w:cstheme="minorHAnsi"/>
          <w:sz w:val="24"/>
          <w:szCs w:val="24"/>
        </w:rPr>
        <w:t>Le Président de l’UFC Que Choisir de Nîmes</w:t>
      </w:r>
    </w:p>
    <w:p w:rsidR="00962EA4" w:rsidRPr="00962EA4" w:rsidRDefault="00962EA4" w:rsidP="00962EA4">
      <w:pPr>
        <w:spacing w:after="0" w:line="298" w:lineRule="atLeast"/>
        <w:jc w:val="both"/>
        <w:rPr>
          <w:rFonts w:cstheme="minorHAnsi"/>
          <w:sz w:val="24"/>
          <w:szCs w:val="24"/>
        </w:rPr>
      </w:pPr>
      <w:r>
        <w:rPr>
          <w:rFonts w:cstheme="minorHAnsi"/>
          <w:sz w:val="24"/>
          <w:szCs w:val="24"/>
        </w:rPr>
        <w:t>Marc ORIBELLI</w:t>
      </w:r>
    </w:p>
    <w:sectPr w:rsidR="00962EA4" w:rsidRPr="00962EA4" w:rsidSect="008C3BCC">
      <w:headerReference w:type="default" r:id="rId13"/>
      <w:footerReference w:type="default" r:id="rId14"/>
      <w:pgSz w:w="11906" w:h="16838" w:code="9"/>
      <w:pgMar w:top="1588" w:right="1418" w:bottom="907"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ED" w:rsidRDefault="002222ED" w:rsidP="009D4CDB">
      <w:pPr>
        <w:spacing w:after="0" w:line="240" w:lineRule="auto"/>
      </w:pPr>
      <w:r>
        <w:separator/>
      </w:r>
    </w:p>
  </w:endnote>
  <w:endnote w:type="continuationSeparator" w:id="0">
    <w:p w:rsidR="002222ED" w:rsidRDefault="002222ED"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8C3BCC" w:rsidP="00D903C3">
    <w:pPr>
      <w:pStyle w:val="En-tte"/>
      <w:jc w:val="center"/>
      <w:rPr>
        <w:bCs/>
        <w:sz w:val="28"/>
        <w:szCs w:val="28"/>
      </w:rPr>
    </w:pPr>
    <w:r>
      <w:rPr>
        <w:bCs/>
        <w:sz w:val="28"/>
        <w:szCs w:val="28"/>
      </w:rPr>
      <w:t xml:space="preserve">Tel : 04 66 84 31 87 - </w:t>
    </w:r>
    <w:r w:rsidR="00D903C3">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ED" w:rsidRDefault="002222ED" w:rsidP="009D4CDB">
      <w:pPr>
        <w:spacing w:after="0" w:line="240" w:lineRule="auto"/>
      </w:pPr>
      <w:r>
        <w:separator/>
      </w:r>
    </w:p>
  </w:footnote>
  <w:footnote w:type="continuationSeparator" w:id="0">
    <w:p w:rsidR="002222ED" w:rsidRDefault="002222ED"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3" name="Image 3"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1BC4"/>
    <w:multiLevelType w:val="multilevel"/>
    <w:tmpl w:val="D89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6"/>
  </w:num>
  <w:num w:numId="4">
    <w:abstractNumId w:val="18"/>
  </w:num>
  <w:num w:numId="5">
    <w:abstractNumId w:val="8"/>
  </w:num>
  <w:num w:numId="6">
    <w:abstractNumId w:val="0"/>
  </w:num>
  <w:num w:numId="7">
    <w:abstractNumId w:val="4"/>
  </w:num>
  <w:num w:numId="8">
    <w:abstractNumId w:val="29"/>
  </w:num>
  <w:num w:numId="9">
    <w:abstractNumId w:val="5"/>
  </w:num>
  <w:num w:numId="10">
    <w:abstractNumId w:val="26"/>
  </w:num>
  <w:num w:numId="11">
    <w:abstractNumId w:val="20"/>
  </w:num>
  <w:num w:numId="12">
    <w:abstractNumId w:val="7"/>
  </w:num>
  <w:num w:numId="13">
    <w:abstractNumId w:val="19"/>
  </w:num>
  <w:num w:numId="14">
    <w:abstractNumId w:val="21"/>
  </w:num>
  <w:num w:numId="15">
    <w:abstractNumId w:val="28"/>
  </w:num>
  <w:num w:numId="16">
    <w:abstractNumId w:val="3"/>
  </w:num>
  <w:num w:numId="17">
    <w:abstractNumId w:val="23"/>
  </w:num>
  <w:num w:numId="18">
    <w:abstractNumId w:val="25"/>
  </w:num>
  <w:num w:numId="19">
    <w:abstractNumId w:val="11"/>
  </w:num>
  <w:num w:numId="20">
    <w:abstractNumId w:val="10"/>
  </w:num>
  <w:num w:numId="21">
    <w:abstractNumId w:val="17"/>
  </w:num>
  <w:num w:numId="22">
    <w:abstractNumId w:val="14"/>
  </w:num>
  <w:num w:numId="23">
    <w:abstractNumId w:val="16"/>
  </w:num>
  <w:num w:numId="24">
    <w:abstractNumId w:val="27"/>
  </w:num>
  <w:num w:numId="25">
    <w:abstractNumId w:val="24"/>
  </w:num>
  <w:num w:numId="26">
    <w:abstractNumId w:val="12"/>
  </w:num>
  <w:num w:numId="27">
    <w:abstractNumId w:val="22"/>
  </w:num>
  <w:num w:numId="28">
    <w:abstractNumId w:val="1"/>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63D9F"/>
    <w:rsid w:val="00082964"/>
    <w:rsid w:val="000D26E0"/>
    <w:rsid w:val="00122C44"/>
    <w:rsid w:val="00130C0F"/>
    <w:rsid w:val="001C661C"/>
    <w:rsid w:val="002222ED"/>
    <w:rsid w:val="002B2B5F"/>
    <w:rsid w:val="003A4710"/>
    <w:rsid w:val="0040310F"/>
    <w:rsid w:val="004365EE"/>
    <w:rsid w:val="0046254F"/>
    <w:rsid w:val="00475C72"/>
    <w:rsid w:val="004D0FE0"/>
    <w:rsid w:val="004D36E4"/>
    <w:rsid w:val="00503119"/>
    <w:rsid w:val="00542B25"/>
    <w:rsid w:val="0055527C"/>
    <w:rsid w:val="00590A9D"/>
    <w:rsid w:val="005A61A7"/>
    <w:rsid w:val="005F7AAE"/>
    <w:rsid w:val="0060011B"/>
    <w:rsid w:val="00600523"/>
    <w:rsid w:val="00600D80"/>
    <w:rsid w:val="00657193"/>
    <w:rsid w:val="006855D4"/>
    <w:rsid w:val="006E3304"/>
    <w:rsid w:val="007077FC"/>
    <w:rsid w:val="007421CF"/>
    <w:rsid w:val="007731EE"/>
    <w:rsid w:val="007810AE"/>
    <w:rsid w:val="00794468"/>
    <w:rsid w:val="007A0153"/>
    <w:rsid w:val="007C1B42"/>
    <w:rsid w:val="007C3198"/>
    <w:rsid w:val="007E0529"/>
    <w:rsid w:val="007E21A7"/>
    <w:rsid w:val="00812396"/>
    <w:rsid w:val="008B22BC"/>
    <w:rsid w:val="008C3BCC"/>
    <w:rsid w:val="00911CA3"/>
    <w:rsid w:val="00930964"/>
    <w:rsid w:val="00952ED8"/>
    <w:rsid w:val="00962EA4"/>
    <w:rsid w:val="009C045D"/>
    <w:rsid w:val="009D4CDB"/>
    <w:rsid w:val="00A72614"/>
    <w:rsid w:val="00A95938"/>
    <w:rsid w:val="00AA1537"/>
    <w:rsid w:val="00AA3E41"/>
    <w:rsid w:val="00AD6754"/>
    <w:rsid w:val="00B02D98"/>
    <w:rsid w:val="00B0747A"/>
    <w:rsid w:val="00B57E89"/>
    <w:rsid w:val="00B60A5C"/>
    <w:rsid w:val="00BA68FB"/>
    <w:rsid w:val="00BB6E0A"/>
    <w:rsid w:val="00BF1774"/>
    <w:rsid w:val="00C41246"/>
    <w:rsid w:val="00C8457A"/>
    <w:rsid w:val="00C91038"/>
    <w:rsid w:val="00CA3AF5"/>
    <w:rsid w:val="00D903C3"/>
    <w:rsid w:val="00E61EE3"/>
    <w:rsid w:val="00E6504B"/>
    <w:rsid w:val="00E73D68"/>
    <w:rsid w:val="00E74860"/>
    <w:rsid w:val="00E93FC1"/>
    <w:rsid w:val="00EC3EFA"/>
    <w:rsid w:val="00ED6F2C"/>
    <w:rsid w:val="00F30154"/>
    <w:rsid w:val="00F7192F"/>
    <w:rsid w:val="00F97438"/>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choisir.org/coronavirus-annuler-voyage-evenement-n7655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echoisir.org/conseils-coronavirus-nouvelles-regles-de-remboursement-des-evenements-ou-sejours-annules-25-mars-2020-n77623/" TargetMode="External"/><Relationship Id="rId12" Type="http://schemas.openxmlformats.org/officeDocument/2006/relationships/hyperlink" Target="https://forum.quechoisir.org/coronavirus-vous-faire-rembourser-votre-reservation-annulee-t26440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choisir.org/formulaire-coronavirus-n-oubliez-pas-le-remboursement-de-votre-voyage-n776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uechoisir.org/coronavirus-annuler-voyage-evenement-n76555/" TargetMode="External"/><Relationship Id="rId4" Type="http://schemas.openxmlformats.org/officeDocument/2006/relationships/webSettings" Target="webSettings.xml"/><Relationship Id="rId9" Type="http://schemas.openxmlformats.org/officeDocument/2006/relationships/hyperlink" Target="https://www.quechoisir.org/conseils-coronavirus-nouvelles-regles-de-remboursement-des-evenements-ou-sejours-annules-25-mars-2020-n776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2895</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2</cp:revision>
  <dcterms:created xsi:type="dcterms:W3CDTF">2020-03-28T10:10:00Z</dcterms:created>
  <dcterms:modified xsi:type="dcterms:W3CDTF">2020-03-28T10:10:00Z</dcterms:modified>
</cp:coreProperties>
</file>